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BC" w:rsidRDefault="00BB17B6" w:rsidP="00103F16">
      <w:pPr>
        <w:spacing w:after="74" w:line="276" w:lineRule="auto"/>
        <w:ind w:left="-900" w:right="3709"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4771721</wp:posOffset>
            </wp:positionH>
            <wp:positionV relativeFrom="paragraph">
              <wp:posOffset>180975</wp:posOffset>
            </wp:positionV>
            <wp:extent cx="1257935" cy="90297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1257935" cy="902970"/>
                    </a:xfrm>
                    <a:prstGeom prst="rect">
                      <a:avLst/>
                    </a:prstGeom>
                  </pic:spPr>
                </pic:pic>
              </a:graphicData>
            </a:graphic>
          </wp:anchor>
        </w:drawing>
      </w:r>
      <w:r>
        <w:rPr>
          <w:noProof/>
        </w:rPr>
        <w:drawing>
          <wp:inline distT="0" distB="0" distL="0" distR="0">
            <wp:extent cx="4436999" cy="125857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4436999" cy="1258570"/>
                    </a:xfrm>
                    <a:prstGeom prst="rect">
                      <a:avLst/>
                    </a:prstGeom>
                  </pic:spPr>
                </pic:pic>
              </a:graphicData>
            </a:graphic>
          </wp:inline>
        </w:drawing>
      </w:r>
      <w:r>
        <w:t xml:space="preserve"> </w:t>
      </w:r>
    </w:p>
    <w:p w:rsidR="005804BC" w:rsidRDefault="00F22CA9" w:rsidP="00103F16">
      <w:pPr>
        <w:spacing w:after="134" w:line="276" w:lineRule="auto"/>
        <w:ind w:left="0" w:right="65" w:firstLine="0"/>
        <w:jc w:val="right"/>
      </w:pPr>
      <w:r>
        <w:rPr>
          <w:b/>
        </w:rPr>
        <w:t xml:space="preserve"> Nr. 85</w:t>
      </w:r>
      <w:r w:rsidR="001C4D2C">
        <w:rPr>
          <w:b/>
        </w:rPr>
        <w:t>/1041/2017/</w:t>
      </w:r>
      <w:r>
        <w:rPr>
          <w:b/>
        </w:rPr>
        <w:t>05</w:t>
      </w:r>
      <w:r w:rsidR="00BB17B6">
        <w:rPr>
          <w:b/>
        </w:rPr>
        <w:t>.</w:t>
      </w:r>
      <w:r w:rsidR="00D928EC">
        <w:rPr>
          <w:b/>
        </w:rPr>
        <w:t>11</w:t>
      </w:r>
      <w:r w:rsidR="00BB17B6">
        <w:rPr>
          <w:b/>
        </w:rPr>
        <w:t xml:space="preserve">.2018 </w:t>
      </w:r>
    </w:p>
    <w:p w:rsidR="001C4D2C" w:rsidRDefault="001C4D2C" w:rsidP="00103F16">
      <w:pPr>
        <w:spacing w:after="155" w:line="276" w:lineRule="auto"/>
        <w:ind w:left="0" w:right="0" w:firstLine="0"/>
        <w:jc w:val="right"/>
        <w:rPr>
          <w:b/>
          <w:sz w:val="24"/>
        </w:rPr>
      </w:pPr>
    </w:p>
    <w:p w:rsidR="001C4D2C" w:rsidRDefault="001C4D2C" w:rsidP="00103F16">
      <w:pPr>
        <w:spacing w:after="114" w:line="276" w:lineRule="auto"/>
        <w:ind w:left="5" w:right="0" w:firstLine="0"/>
        <w:jc w:val="center"/>
      </w:pPr>
    </w:p>
    <w:p w:rsidR="00F22CA9" w:rsidRDefault="00F22CA9" w:rsidP="00103F16">
      <w:pPr>
        <w:spacing w:after="114" w:line="276" w:lineRule="auto"/>
        <w:ind w:left="5" w:right="0" w:firstLine="0"/>
        <w:jc w:val="center"/>
      </w:pPr>
    </w:p>
    <w:p w:rsidR="00F22CA9" w:rsidRDefault="00F22CA9" w:rsidP="00103F16">
      <w:pPr>
        <w:spacing w:after="114" w:line="276" w:lineRule="auto"/>
        <w:ind w:left="5" w:right="0" w:firstLine="0"/>
        <w:jc w:val="center"/>
      </w:pPr>
    </w:p>
    <w:p w:rsidR="005804BC" w:rsidRDefault="00D928EC" w:rsidP="00103F16">
      <w:pPr>
        <w:pStyle w:val="Heading1"/>
        <w:spacing w:line="276" w:lineRule="auto"/>
      </w:pPr>
      <w:r>
        <w:t>CLARIFICARE  nr. 1</w:t>
      </w:r>
    </w:p>
    <w:p w:rsidR="005804BC" w:rsidRDefault="00BB17B6" w:rsidP="00103F16">
      <w:pPr>
        <w:spacing w:after="134" w:line="276" w:lineRule="auto"/>
        <w:ind w:left="0" w:right="0" w:firstLine="0"/>
        <w:jc w:val="left"/>
      </w:pPr>
      <w:r>
        <w:t xml:space="preserve"> </w:t>
      </w:r>
    </w:p>
    <w:p w:rsidR="005804BC" w:rsidRDefault="00BB17B6" w:rsidP="00103F16">
      <w:pPr>
        <w:spacing w:after="136" w:line="276" w:lineRule="auto"/>
        <w:ind w:left="0" w:right="0" w:firstLine="0"/>
        <w:jc w:val="left"/>
      </w:pPr>
      <w:r>
        <w:t xml:space="preserve"> </w:t>
      </w:r>
    </w:p>
    <w:p w:rsidR="005804BC" w:rsidRDefault="00BB17B6" w:rsidP="00103F16">
      <w:pPr>
        <w:spacing w:line="276" w:lineRule="auto"/>
        <w:ind w:left="0" w:right="51" w:firstLine="0"/>
      </w:pPr>
      <w:r>
        <w:t>Având în vedere solicit</w:t>
      </w:r>
      <w:r w:rsidR="00D928EC">
        <w:t xml:space="preserve">ările </w:t>
      </w:r>
      <w:r>
        <w:t>de clarific</w:t>
      </w:r>
      <w:r w:rsidR="00D928EC">
        <w:t>ări</w:t>
      </w:r>
      <w:r>
        <w:t xml:space="preserve"> referitoare la achiziția având ca obiect „închirierea unui imobil cu destinaţia depozit/hală depozitare, de minimum 2.000 mp, necesar depozitării bunurilor mobile aflate în administrarea sau în procedură de valorificare la nivelul Agenției”, </w:t>
      </w:r>
      <w:r w:rsidR="00D928EC">
        <w:t>A</w:t>
      </w:r>
      <w:r>
        <w:t xml:space="preserve">utoritatea </w:t>
      </w:r>
      <w:r w:rsidR="00D928EC">
        <w:t>C</w:t>
      </w:r>
      <w:r>
        <w:t>ontr</w:t>
      </w:r>
      <w:r w:rsidR="00556D80">
        <w:t>actantă vă comunică următoarele</w:t>
      </w:r>
      <w:r>
        <w:t>:</w:t>
      </w:r>
      <w:r>
        <w:rPr>
          <w:b/>
        </w:rPr>
        <w:t xml:space="preserve"> </w:t>
      </w:r>
    </w:p>
    <w:p w:rsidR="005804BC" w:rsidRDefault="00BB17B6" w:rsidP="00103F16">
      <w:pPr>
        <w:spacing w:after="136" w:line="276" w:lineRule="auto"/>
        <w:ind w:left="0" w:right="0" w:firstLine="0"/>
        <w:jc w:val="left"/>
      </w:pPr>
      <w:r>
        <w:t xml:space="preserve">  </w:t>
      </w:r>
    </w:p>
    <w:p w:rsidR="005804BC" w:rsidRDefault="00BB17B6" w:rsidP="00103F16">
      <w:pPr>
        <w:pStyle w:val="Heading2"/>
        <w:spacing w:after="98" w:line="276" w:lineRule="auto"/>
        <w:ind w:left="0" w:firstLine="0"/>
      </w:pPr>
      <w:r>
        <w:t>Întrebarea nr.1</w:t>
      </w:r>
      <w:r>
        <w:rPr>
          <w:b w:val="0"/>
          <w:u w:val="none"/>
        </w:rPr>
        <w:t xml:space="preserve">  </w:t>
      </w:r>
    </w:p>
    <w:p w:rsidR="005804BC" w:rsidRDefault="00D928EC" w:rsidP="00103F16">
      <w:pPr>
        <w:spacing w:line="276" w:lineRule="auto"/>
        <w:ind w:left="0" w:right="0" w:firstLine="0"/>
      </w:pPr>
      <w:r w:rsidRPr="00103F16">
        <w:rPr>
          <w:i/>
        </w:rPr>
        <w:t>Din extrasul de carte funciară nu reiese dreptul de închiriere, ci dreptul de proprietate. Ce anume se solicită</w:t>
      </w:r>
      <w:r>
        <w:t xml:space="preserve">? </w:t>
      </w:r>
    </w:p>
    <w:p w:rsidR="005804BC" w:rsidRDefault="00BB17B6" w:rsidP="00103F16">
      <w:pPr>
        <w:spacing w:line="276" w:lineRule="auto"/>
        <w:ind w:left="0" w:right="0" w:firstLine="0"/>
      </w:pPr>
      <w:r>
        <w:t xml:space="preserve"> </w:t>
      </w:r>
      <w:r>
        <w:rPr>
          <w:b/>
        </w:rPr>
        <w:t xml:space="preserve"> </w:t>
      </w:r>
    </w:p>
    <w:p w:rsidR="005804BC" w:rsidRDefault="00BB17B6" w:rsidP="00103F16">
      <w:pPr>
        <w:pStyle w:val="Heading2"/>
        <w:spacing w:line="276" w:lineRule="auto"/>
        <w:ind w:left="0" w:firstLine="0"/>
        <w:rPr>
          <w:u w:val="none"/>
        </w:rPr>
      </w:pPr>
      <w:r>
        <w:t>Răspuns nr. 1</w:t>
      </w:r>
      <w:r>
        <w:rPr>
          <w:u w:val="none"/>
        </w:rPr>
        <w:t xml:space="preserve"> </w:t>
      </w:r>
    </w:p>
    <w:p w:rsidR="008671C8" w:rsidRPr="008671C8" w:rsidRDefault="008671C8" w:rsidP="00103F16">
      <w:pPr>
        <w:spacing w:line="276" w:lineRule="auto"/>
        <w:ind w:left="0" w:firstLine="0"/>
      </w:pPr>
    </w:p>
    <w:p w:rsidR="00D928EC" w:rsidRDefault="00B31F0E" w:rsidP="00103F16">
      <w:pPr>
        <w:spacing w:line="276" w:lineRule="auto"/>
        <w:ind w:left="0" w:right="0" w:firstLine="0"/>
        <w:rPr>
          <w:i/>
        </w:rPr>
      </w:pPr>
      <w:r>
        <w:t>Potrivit</w:t>
      </w:r>
      <w:r w:rsidR="00D928EC">
        <w:t xml:space="preserve"> </w:t>
      </w:r>
      <w:r>
        <w:t>punctului</w:t>
      </w:r>
      <w:r w:rsidR="00D928EC">
        <w:t xml:space="preserve"> 6 din Caietul de sarcini, subsecțiunea 6.7: Ofertantul trebuie să depună </w:t>
      </w:r>
      <w:r w:rsidR="00D928EC" w:rsidRPr="00D928EC">
        <w:rPr>
          <w:i/>
        </w:rPr>
        <w:t>Extras de carte funciară (emis cu cel mult 2 luni înaintea depunerii ofertei), din care să rezulte dreptul ofertantului de închiriere al imobilului</w:t>
      </w:r>
      <w:r w:rsidR="00D928EC">
        <w:rPr>
          <w:i/>
        </w:rPr>
        <w:t xml:space="preserve">. </w:t>
      </w:r>
    </w:p>
    <w:p w:rsidR="00103F16" w:rsidRDefault="00D928EC" w:rsidP="00103F16">
      <w:pPr>
        <w:spacing w:line="276" w:lineRule="auto"/>
        <w:ind w:left="0" w:right="0" w:firstLine="0"/>
      </w:pPr>
      <w:r>
        <w:t>De asemenea, potrivit punctului 5 din Caietul de sarcini, subsec</w:t>
      </w:r>
      <w:r w:rsidR="00103F16">
        <w:t>ț</w:t>
      </w:r>
      <w:r>
        <w:t xml:space="preserve">iunea 5.26: </w:t>
      </w:r>
      <w:r w:rsidRPr="00103F16">
        <w:rPr>
          <w:rFonts w:eastAsia="MS Mincho" w:cs="Arial"/>
          <w:i/>
          <w:color w:val="auto"/>
          <w:lang w:eastAsia="en-US"/>
        </w:rPr>
        <w:t>În cazul în care ofertantul nu este proprietarul spațiului oferit spre închiriere, acesta va prezenta actul în baza căruia deține dreptul de folosință din care să rezulte și dreptul de subînchirier</w:t>
      </w:r>
      <w:r w:rsidR="00103F16" w:rsidRPr="00103F16">
        <w:rPr>
          <w:rFonts w:eastAsia="MS Mincho" w:cs="Arial"/>
          <w:i/>
          <w:color w:val="auto"/>
          <w:lang w:eastAsia="en-US"/>
        </w:rPr>
        <w:t>e pe o durată de cel puțin 5 ani</w:t>
      </w:r>
      <w:r w:rsidR="00103F16">
        <w:rPr>
          <w:rFonts w:eastAsia="MS Mincho" w:cs="Arial"/>
          <w:color w:val="auto"/>
          <w:lang w:eastAsia="en-US"/>
        </w:rPr>
        <w:t>.</w:t>
      </w:r>
      <w:r w:rsidR="00444923">
        <w:t xml:space="preserve"> </w:t>
      </w:r>
    </w:p>
    <w:p w:rsidR="00103F16" w:rsidRDefault="00103F16" w:rsidP="00103F16">
      <w:pPr>
        <w:spacing w:line="276" w:lineRule="auto"/>
        <w:ind w:left="0" w:right="0" w:firstLine="0"/>
      </w:pPr>
    </w:p>
    <w:p w:rsidR="00030F29" w:rsidRDefault="00030F29" w:rsidP="00103F16">
      <w:pPr>
        <w:spacing w:line="276" w:lineRule="auto"/>
        <w:ind w:left="0" w:right="0" w:firstLine="0"/>
      </w:pPr>
    </w:p>
    <w:p w:rsidR="00103F16" w:rsidRDefault="00103F16" w:rsidP="00103F16">
      <w:pPr>
        <w:pStyle w:val="Heading2"/>
        <w:spacing w:after="98" w:line="276" w:lineRule="auto"/>
        <w:ind w:left="0" w:firstLine="0"/>
      </w:pPr>
      <w:r>
        <w:t>Întrebarea nr.2</w:t>
      </w:r>
      <w:r>
        <w:rPr>
          <w:b w:val="0"/>
          <w:u w:val="none"/>
        </w:rPr>
        <w:t xml:space="preserve"> </w:t>
      </w:r>
    </w:p>
    <w:p w:rsidR="00103F16" w:rsidRPr="00103F16" w:rsidRDefault="00103F16" w:rsidP="00103F16">
      <w:pPr>
        <w:spacing w:line="276" w:lineRule="auto"/>
        <w:ind w:left="0" w:right="0" w:firstLine="0"/>
        <w:rPr>
          <w:i/>
        </w:rPr>
      </w:pPr>
      <w:r w:rsidRPr="00103F16">
        <w:rPr>
          <w:i/>
        </w:rPr>
        <w:t xml:space="preserve">În cazul în care există o ipotecă se acceptă imobilul și în ce condiții? </w:t>
      </w:r>
    </w:p>
    <w:p w:rsidR="00103F16" w:rsidRDefault="00103F16" w:rsidP="00103F16">
      <w:pPr>
        <w:spacing w:line="276" w:lineRule="auto"/>
        <w:ind w:left="0" w:right="0" w:firstLine="0"/>
      </w:pPr>
      <w:r>
        <w:t xml:space="preserve"> </w:t>
      </w:r>
      <w:r>
        <w:rPr>
          <w:b/>
        </w:rPr>
        <w:t xml:space="preserve"> </w:t>
      </w:r>
    </w:p>
    <w:p w:rsidR="00103F16" w:rsidRDefault="00103F16" w:rsidP="00103F16">
      <w:pPr>
        <w:pStyle w:val="Heading2"/>
        <w:spacing w:line="276" w:lineRule="auto"/>
        <w:ind w:left="0" w:firstLine="0"/>
        <w:rPr>
          <w:u w:val="none"/>
        </w:rPr>
      </w:pPr>
      <w:r>
        <w:t>Răspuns nr. 2</w:t>
      </w:r>
    </w:p>
    <w:p w:rsidR="00103F16" w:rsidRDefault="00103F16" w:rsidP="00103F16">
      <w:pPr>
        <w:spacing w:line="276" w:lineRule="auto"/>
        <w:ind w:left="0" w:firstLine="0"/>
      </w:pPr>
    </w:p>
    <w:p w:rsidR="00103F16" w:rsidRDefault="00103F16" w:rsidP="00103F16">
      <w:pPr>
        <w:spacing w:line="276" w:lineRule="auto"/>
        <w:ind w:left="0" w:firstLine="0"/>
      </w:pPr>
      <w:r>
        <w:t xml:space="preserve">Condițiile în care poate fi acceptat un imobil asupra căruia există </w:t>
      </w:r>
      <w:r w:rsidRPr="00103F16">
        <w:t>garanții imobiliare</w:t>
      </w:r>
      <w:r>
        <w:t xml:space="preserve"> sunt reflectate în </w:t>
      </w:r>
      <w:r w:rsidRPr="00103F16">
        <w:t>punctul 5 din Caietul de sarcini, subsecțiunea 5.2</w:t>
      </w:r>
      <w:r>
        <w:t xml:space="preserve">7: </w:t>
      </w:r>
      <w:r w:rsidRPr="00103F16">
        <w:rPr>
          <w:i/>
        </w:rPr>
        <w:t xml:space="preserve">Imobilul și terenul aferent trebuie să nu fie revendicat, să nu fie ocupat de alte persoane (fizice sau juridice), să nu facă obiectul vreunei acțiuni în justiție/litigiu sau a unor măsuri asigurătorii ori garanții imobiliare care să depășească </w:t>
      </w:r>
      <w:r w:rsidRPr="00103F16">
        <w:rPr>
          <w:i/>
        </w:rPr>
        <w:lastRenderedPageBreak/>
        <w:t>120.000 lei (cu excepția celor în favoarea unei instituții financiar bancare) și să poată fi pus la dispoziția Autorității contractante imediat după semnarea contractului.</w:t>
      </w:r>
    </w:p>
    <w:p w:rsidR="00103F16" w:rsidRPr="008671C8" w:rsidRDefault="00103F16" w:rsidP="00103F16">
      <w:pPr>
        <w:spacing w:line="276" w:lineRule="auto"/>
        <w:ind w:left="0" w:firstLine="0"/>
      </w:pPr>
    </w:p>
    <w:p w:rsidR="00103F16" w:rsidRDefault="00103F16" w:rsidP="00103F16">
      <w:pPr>
        <w:spacing w:line="276" w:lineRule="auto"/>
        <w:ind w:left="0" w:right="0" w:firstLine="0"/>
      </w:pPr>
    </w:p>
    <w:p w:rsidR="00103F16" w:rsidRDefault="00103F16" w:rsidP="00103F16">
      <w:pPr>
        <w:pStyle w:val="Heading2"/>
        <w:spacing w:after="98" w:line="276" w:lineRule="auto"/>
        <w:ind w:left="0" w:firstLine="0"/>
      </w:pPr>
      <w:r>
        <w:t>Întrebarea nr.3</w:t>
      </w:r>
    </w:p>
    <w:p w:rsidR="00103F16" w:rsidRPr="00103F16" w:rsidRDefault="00103F16" w:rsidP="00103F16">
      <w:pPr>
        <w:spacing w:line="276" w:lineRule="auto"/>
        <w:ind w:left="0" w:right="0" w:firstLine="0"/>
        <w:rPr>
          <w:i/>
        </w:rPr>
      </w:pPr>
      <w:r w:rsidRPr="00103F16">
        <w:rPr>
          <w:i/>
        </w:rPr>
        <w:t xml:space="preserve">În cazul în care există o </w:t>
      </w:r>
      <w:r>
        <w:rPr>
          <w:i/>
        </w:rPr>
        <w:t>notare a ANAF se acceptă imobilul și în ce condiții</w:t>
      </w:r>
      <w:r w:rsidRPr="00103F16">
        <w:rPr>
          <w:i/>
        </w:rPr>
        <w:t xml:space="preserve">? </w:t>
      </w:r>
    </w:p>
    <w:p w:rsidR="00103F16" w:rsidRDefault="00103F16" w:rsidP="00103F16">
      <w:pPr>
        <w:spacing w:line="276" w:lineRule="auto"/>
        <w:ind w:left="0" w:right="0" w:firstLine="0"/>
      </w:pPr>
      <w:r>
        <w:t xml:space="preserve"> </w:t>
      </w:r>
      <w:r>
        <w:rPr>
          <w:b/>
        </w:rPr>
        <w:t xml:space="preserve"> </w:t>
      </w:r>
    </w:p>
    <w:p w:rsidR="00103F16" w:rsidRDefault="00103F16" w:rsidP="00103F16">
      <w:pPr>
        <w:pStyle w:val="Heading2"/>
        <w:spacing w:line="276" w:lineRule="auto"/>
        <w:ind w:left="0" w:firstLine="0"/>
        <w:rPr>
          <w:u w:val="none"/>
        </w:rPr>
      </w:pPr>
      <w:r>
        <w:t>Răspuns nr. 3</w:t>
      </w:r>
    </w:p>
    <w:p w:rsidR="00103F16" w:rsidRDefault="00103F16" w:rsidP="00103F16">
      <w:pPr>
        <w:spacing w:line="276" w:lineRule="auto"/>
        <w:ind w:left="0" w:firstLine="0"/>
      </w:pPr>
    </w:p>
    <w:p w:rsidR="00103F16" w:rsidRDefault="00103F16" w:rsidP="00103F16">
      <w:pPr>
        <w:spacing w:line="276" w:lineRule="auto"/>
        <w:ind w:left="0" w:firstLine="0"/>
      </w:pPr>
      <w:r>
        <w:t xml:space="preserve">Condițiile în care poate fi acceptat un imobil asupra căruia există </w:t>
      </w:r>
      <w:r w:rsidRPr="00103F16">
        <w:t xml:space="preserve">măsuri asigurătorii </w:t>
      </w:r>
      <w:r>
        <w:t xml:space="preserve">sunt reflectate în </w:t>
      </w:r>
      <w:r w:rsidRPr="00103F16">
        <w:t>punctul 5 din Caietul de sarcini, subsecțiunea 5.2</w:t>
      </w:r>
      <w:r>
        <w:t xml:space="preserve">7: </w:t>
      </w:r>
      <w:r w:rsidRPr="00103F16">
        <w:rPr>
          <w:i/>
        </w:rPr>
        <w:t>Imobilul și terenul aferent trebuie să nu fie revendicat, să nu fie ocupat de alte persoane (fizice sau juridice), să nu facă obiectul vreunei acțiuni în justiție/litigiu sau a unor măsuri asigurătorii ori garanții imobiliare care să depășească 120.000 lei (cu excepția celor în favoarea unei instituții financiar bancare) și să poată fi pus la dispoziția Autorității contractante imediat după semnarea contractului.</w:t>
      </w:r>
    </w:p>
    <w:p w:rsidR="00103F16" w:rsidRPr="008671C8" w:rsidRDefault="00103F16" w:rsidP="00103F16">
      <w:pPr>
        <w:spacing w:line="276" w:lineRule="auto"/>
        <w:ind w:left="0" w:firstLine="0"/>
      </w:pPr>
    </w:p>
    <w:p w:rsidR="00103F16" w:rsidRDefault="00103F16" w:rsidP="00103F16">
      <w:pPr>
        <w:spacing w:after="30" w:line="276" w:lineRule="auto"/>
        <w:ind w:left="0" w:right="0" w:firstLine="0"/>
        <w:jc w:val="left"/>
      </w:pPr>
    </w:p>
    <w:p w:rsidR="00BE54F4" w:rsidRDefault="00BE54F4" w:rsidP="00103F16">
      <w:pPr>
        <w:spacing w:after="30" w:line="276" w:lineRule="auto"/>
        <w:ind w:left="0" w:right="0" w:firstLine="0"/>
        <w:jc w:val="left"/>
      </w:pPr>
    </w:p>
    <w:p w:rsidR="00BE54F4" w:rsidRDefault="00BE54F4" w:rsidP="00103F16">
      <w:pPr>
        <w:spacing w:after="30" w:line="276" w:lineRule="auto"/>
        <w:ind w:left="0" w:right="0" w:firstLine="0"/>
        <w:jc w:val="left"/>
      </w:pPr>
    </w:p>
    <w:p w:rsidR="005804BC" w:rsidRDefault="005804BC" w:rsidP="00103F16">
      <w:pPr>
        <w:spacing w:after="30" w:line="276" w:lineRule="auto"/>
        <w:ind w:left="0" w:right="0" w:firstLine="0"/>
        <w:jc w:val="left"/>
      </w:pPr>
    </w:p>
    <w:tbl>
      <w:tblPr>
        <w:tblW w:w="9072" w:type="dxa"/>
        <w:tblLayout w:type="fixed"/>
        <w:tblLook w:val="01E0" w:firstRow="1" w:lastRow="1" w:firstColumn="1" w:lastColumn="1" w:noHBand="0" w:noVBand="0"/>
      </w:tblPr>
      <w:tblGrid>
        <w:gridCol w:w="1276"/>
        <w:gridCol w:w="2268"/>
        <w:gridCol w:w="1418"/>
        <w:gridCol w:w="992"/>
        <w:gridCol w:w="1701"/>
        <w:gridCol w:w="1417"/>
      </w:tblGrid>
      <w:tr w:rsidR="001C4D2C" w:rsidRPr="001C4D2C" w:rsidTr="001C4D2C">
        <w:trPr>
          <w:trHeight w:val="156"/>
        </w:trPr>
        <w:tc>
          <w:tcPr>
            <w:tcW w:w="1276" w:type="dxa"/>
            <w:shd w:val="clear" w:color="auto" w:fill="auto"/>
            <w:vAlign w:val="center"/>
          </w:tcPr>
          <w:p w:rsidR="001C4D2C" w:rsidRPr="001C4D2C" w:rsidRDefault="001C4D2C" w:rsidP="00103F16">
            <w:pPr>
              <w:spacing w:line="276" w:lineRule="auto"/>
              <w:ind w:left="0" w:right="0" w:firstLine="0"/>
              <w:jc w:val="left"/>
            </w:pPr>
          </w:p>
        </w:tc>
        <w:tc>
          <w:tcPr>
            <w:tcW w:w="2268" w:type="dxa"/>
            <w:shd w:val="clear" w:color="auto" w:fill="auto"/>
            <w:vAlign w:val="center"/>
          </w:tcPr>
          <w:p w:rsidR="001C4D2C" w:rsidRPr="001C4D2C" w:rsidRDefault="001C4D2C" w:rsidP="00103F16">
            <w:pPr>
              <w:spacing w:line="276" w:lineRule="auto"/>
              <w:ind w:left="0" w:right="0" w:firstLine="0"/>
              <w:jc w:val="left"/>
            </w:pPr>
          </w:p>
        </w:tc>
        <w:tc>
          <w:tcPr>
            <w:tcW w:w="1418" w:type="dxa"/>
            <w:shd w:val="clear" w:color="auto" w:fill="auto"/>
            <w:vAlign w:val="center"/>
          </w:tcPr>
          <w:p w:rsidR="001C4D2C" w:rsidRPr="001C4D2C" w:rsidRDefault="001C4D2C" w:rsidP="00103F16">
            <w:pPr>
              <w:spacing w:line="276" w:lineRule="auto"/>
              <w:ind w:left="0" w:right="0" w:firstLine="0"/>
              <w:jc w:val="left"/>
            </w:pPr>
          </w:p>
        </w:tc>
        <w:tc>
          <w:tcPr>
            <w:tcW w:w="992" w:type="dxa"/>
            <w:shd w:val="clear" w:color="auto" w:fill="auto"/>
            <w:vAlign w:val="center"/>
          </w:tcPr>
          <w:p w:rsidR="001C4D2C" w:rsidRPr="001C4D2C" w:rsidRDefault="001C4D2C" w:rsidP="00103F16">
            <w:pPr>
              <w:spacing w:line="276" w:lineRule="auto"/>
              <w:ind w:left="0" w:right="0" w:firstLine="0"/>
              <w:jc w:val="left"/>
            </w:pPr>
          </w:p>
        </w:tc>
        <w:tc>
          <w:tcPr>
            <w:tcW w:w="1701" w:type="dxa"/>
            <w:shd w:val="clear" w:color="auto" w:fill="auto"/>
            <w:vAlign w:val="center"/>
          </w:tcPr>
          <w:p w:rsidR="001C4D2C" w:rsidRPr="001C4D2C" w:rsidRDefault="001C4D2C" w:rsidP="00103F16">
            <w:pPr>
              <w:spacing w:line="276" w:lineRule="auto"/>
              <w:ind w:left="0" w:right="0" w:firstLine="0"/>
              <w:jc w:val="left"/>
              <w:rPr>
                <w:lang w:val="en-US"/>
              </w:rPr>
            </w:pPr>
          </w:p>
        </w:tc>
        <w:tc>
          <w:tcPr>
            <w:tcW w:w="1417" w:type="dxa"/>
            <w:shd w:val="clear" w:color="auto" w:fill="auto"/>
            <w:vAlign w:val="center"/>
          </w:tcPr>
          <w:p w:rsidR="001C4D2C" w:rsidRPr="001C4D2C" w:rsidRDefault="001C4D2C" w:rsidP="00103F16">
            <w:pPr>
              <w:spacing w:line="276" w:lineRule="auto"/>
              <w:ind w:left="0" w:right="0" w:firstLine="0"/>
              <w:jc w:val="left"/>
              <w:rPr>
                <w:b/>
                <w:i/>
              </w:rPr>
            </w:pPr>
          </w:p>
        </w:tc>
      </w:tr>
      <w:tr w:rsidR="001C4D2C" w:rsidRPr="001C4D2C" w:rsidTr="001C4D2C">
        <w:trPr>
          <w:trHeight w:val="156"/>
        </w:trPr>
        <w:tc>
          <w:tcPr>
            <w:tcW w:w="1276" w:type="dxa"/>
            <w:shd w:val="clear" w:color="auto" w:fill="auto"/>
            <w:vAlign w:val="center"/>
          </w:tcPr>
          <w:p w:rsidR="001C4D2C" w:rsidRPr="001C4D2C" w:rsidRDefault="001C4D2C" w:rsidP="00103F16">
            <w:pPr>
              <w:spacing w:line="276" w:lineRule="auto"/>
              <w:ind w:left="0" w:right="0" w:firstLine="0"/>
              <w:jc w:val="left"/>
            </w:pPr>
          </w:p>
        </w:tc>
        <w:tc>
          <w:tcPr>
            <w:tcW w:w="2268" w:type="dxa"/>
            <w:shd w:val="clear" w:color="auto" w:fill="auto"/>
            <w:vAlign w:val="center"/>
          </w:tcPr>
          <w:p w:rsidR="001C4D2C" w:rsidRPr="001C4D2C" w:rsidRDefault="001C4D2C" w:rsidP="00103F16">
            <w:pPr>
              <w:spacing w:line="276" w:lineRule="auto"/>
              <w:ind w:left="0" w:right="0" w:firstLine="0"/>
              <w:jc w:val="left"/>
            </w:pPr>
          </w:p>
        </w:tc>
        <w:tc>
          <w:tcPr>
            <w:tcW w:w="1418" w:type="dxa"/>
            <w:shd w:val="clear" w:color="auto" w:fill="auto"/>
            <w:vAlign w:val="center"/>
          </w:tcPr>
          <w:p w:rsidR="001C4D2C" w:rsidRPr="001C4D2C" w:rsidRDefault="001C4D2C" w:rsidP="00103F16">
            <w:pPr>
              <w:spacing w:line="276" w:lineRule="auto"/>
              <w:ind w:left="0" w:right="0" w:firstLine="0"/>
              <w:jc w:val="left"/>
            </w:pPr>
          </w:p>
        </w:tc>
        <w:tc>
          <w:tcPr>
            <w:tcW w:w="992" w:type="dxa"/>
            <w:shd w:val="clear" w:color="auto" w:fill="auto"/>
            <w:vAlign w:val="center"/>
          </w:tcPr>
          <w:p w:rsidR="001C4D2C" w:rsidRPr="001C4D2C" w:rsidRDefault="001C4D2C" w:rsidP="00103F16">
            <w:pPr>
              <w:spacing w:line="276" w:lineRule="auto"/>
              <w:ind w:left="0" w:right="0" w:firstLine="0"/>
              <w:jc w:val="left"/>
            </w:pPr>
          </w:p>
        </w:tc>
        <w:tc>
          <w:tcPr>
            <w:tcW w:w="1701" w:type="dxa"/>
            <w:shd w:val="clear" w:color="auto" w:fill="auto"/>
            <w:vAlign w:val="center"/>
          </w:tcPr>
          <w:p w:rsidR="001C4D2C" w:rsidRPr="001C4D2C" w:rsidRDefault="001C4D2C" w:rsidP="00103F16">
            <w:pPr>
              <w:spacing w:line="276" w:lineRule="auto"/>
              <w:ind w:left="0" w:right="0" w:firstLine="0"/>
              <w:jc w:val="left"/>
              <w:rPr>
                <w:lang w:val="en-US"/>
              </w:rPr>
            </w:pPr>
          </w:p>
        </w:tc>
        <w:tc>
          <w:tcPr>
            <w:tcW w:w="1417" w:type="dxa"/>
            <w:shd w:val="clear" w:color="auto" w:fill="auto"/>
            <w:vAlign w:val="center"/>
          </w:tcPr>
          <w:p w:rsidR="001C4D2C" w:rsidRPr="001C4D2C" w:rsidRDefault="001C4D2C" w:rsidP="00103F16">
            <w:pPr>
              <w:spacing w:line="276" w:lineRule="auto"/>
              <w:ind w:left="0" w:right="0" w:firstLine="0"/>
              <w:jc w:val="left"/>
              <w:rPr>
                <w:b/>
                <w:i/>
              </w:rPr>
            </w:pPr>
          </w:p>
        </w:tc>
      </w:tr>
      <w:tr w:rsidR="001C4D2C" w:rsidRPr="001C4D2C" w:rsidTr="001C4D2C">
        <w:trPr>
          <w:trHeight w:val="156"/>
        </w:trPr>
        <w:tc>
          <w:tcPr>
            <w:tcW w:w="1276" w:type="dxa"/>
            <w:shd w:val="clear" w:color="auto" w:fill="auto"/>
            <w:vAlign w:val="center"/>
          </w:tcPr>
          <w:p w:rsidR="001C4D2C" w:rsidRPr="001C4D2C" w:rsidRDefault="001C4D2C" w:rsidP="00103F16">
            <w:pPr>
              <w:spacing w:line="276" w:lineRule="auto"/>
              <w:ind w:left="0" w:right="0" w:firstLine="0"/>
              <w:jc w:val="left"/>
            </w:pPr>
          </w:p>
        </w:tc>
        <w:tc>
          <w:tcPr>
            <w:tcW w:w="2268" w:type="dxa"/>
            <w:shd w:val="clear" w:color="auto" w:fill="auto"/>
            <w:vAlign w:val="center"/>
          </w:tcPr>
          <w:p w:rsidR="001C4D2C" w:rsidRPr="001C4D2C" w:rsidRDefault="001C4D2C" w:rsidP="00103F16">
            <w:pPr>
              <w:spacing w:line="276" w:lineRule="auto"/>
              <w:ind w:left="0" w:right="0" w:firstLine="0"/>
              <w:jc w:val="left"/>
            </w:pPr>
          </w:p>
        </w:tc>
        <w:tc>
          <w:tcPr>
            <w:tcW w:w="1418" w:type="dxa"/>
            <w:shd w:val="clear" w:color="auto" w:fill="auto"/>
            <w:vAlign w:val="center"/>
          </w:tcPr>
          <w:p w:rsidR="001C4D2C" w:rsidRPr="001C4D2C" w:rsidRDefault="001C4D2C" w:rsidP="00103F16">
            <w:pPr>
              <w:spacing w:line="276" w:lineRule="auto"/>
              <w:ind w:left="0" w:right="0" w:firstLine="0"/>
              <w:jc w:val="left"/>
            </w:pPr>
          </w:p>
        </w:tc>
        <w:tc>
          <w:tcPr>
            <w:tcW w:w="992" w:type="dxa"/>
            <w:shd w:val="clear" w:color="auto" w:fill="auto"/>
            <w:vAlign w:val="center"/>
          </w:tcPr>
          <w:p w:rsidR="001C4D2C" w:rsidRPr="001C4D2C" w:rsidRDefault="001C4D2C" w:rsidP="00103F16">
            <w:pPr>
              <w:spacing w:line="276" w:lineRule="auto"/>
              <w:ind w:left="0" w:right="0" w:firstLine="0"/>
              <w:jc w:val="left"/>
            </w:pPr>
          </w:p>
        </w:tc>
        <w:tc>
          <w:tcPr>
            <w:tcW w:w="1701" w:type="dxa"/>
            <w:shd w:val="clear" w:color="auto" w:fill="auto"/>
            <w:vAlign w:val="center"/>
          </w:tcPr>
          <w:p w:rsidR="001C4D2C" w:rsidRPr="001C4D2C" w:rsidRDefault="001C4D2C" w:rsidP="00103F16">
            <w:pPr>
              <w:spacing w:line="276" w:lineRule="auto"/>
              <w:ind w:left="0" w:right="0" w:firstLine="0"/>
              <w:jc w:val="left"/>
            </w:pPr>
          </w:p>
        </w:tc>
        <w:tc>
          <w:tcPr>
            <w:tcW w:w="1417" w:type="dxa"/>
            <w:shd w:val="clear" w:color="auto" w:fill="auto"/>
            <w:vAlign w:val="center"/>
          </w:tcPr>
          <w:p w:rsidR="001C4D2C" w:rsidRPr="001C4D2C" w:rsidRDefault="001C4D2C" w:rsidP="00103F16">
            <w:pPr>
              <w:spacing w:line="276" w:lineRule="auto"/>
              <w:ind w:left="0" w:right="0" w:firstLine="0"/>
              <w:jc w:val="left"/>
              <w:rPr>
                <w:b/>
                <w:i/>
              </w:rPr>
            </w:pPr>
          </w:p>
        </w:tc>
      </w:tr>
      <w:tr w:rsidR="001C4D2C" w:rsidRPr="001C4D2C" w:rsidTr="001C4D2C">
        <w:trPr>
          <w:trHeight w:val="156"/>
        </w:trPr>
        <w:tc>
          <w:tcPr>
            <w:tcW w:w="1276" w:type="dxa"/>
            <w:shd w:val="clear" w:color="auto" w:fill="auto"/>
            <w:vAlign w:val="center"/>
          </w:tcPr>
          <w:p w:rsidR="001C4D2C" w:rsidRPr="001C4D2C" w:rsidRDefault="001C4D2C" w:rsidP="00103F16">
            <w:pPr>
              <w:spacing w:line="276" w:lineRule="auto"/>
              <w:ind w:left="0" w:right="0" w:firstLine="0"/>
              <w:jc w:val="left"/>
            </w:pPr>
          </w:p>
        </w:tc>
        <w:tc>
          <w:tcPr>
            <w:tcW w:w="2268" w:type="dxa"/>
            <w:shd w:val="clear" w:color="auto" w:fill="auto"/>
            <w:vAlign w:val="center"/>
          </w:tcPr>
          <w:p w:rsidR="001C4D2C" w:rsidRPr="001C4D2C" w:rsidRDefault="001C4D2C" w:rsidP="00103F16">
            <w:pPr>
              <w:spacing w:line="276" w:lineRule="auto"/>
              <w:ind w:left="0" w:right="0" w:firstLine="0"/>
              <w:jc w:val="left"/>
            </w:pPr>
          </w:p>
        </w:tc>
        <w:tc>
          <w:tcPr>
            <w:tcW w:w="1418" w:type="dxa"/>
            <w:shd w:val="clear" w:color="auto" w:fill="auto"/>
            <w:vAlign w:val="center"/>
          </w:tcPr>
          <w:p w:rsidR="001C4D2C" w:rsidRPr="001C4D2C" w:rsidRDefault="001C4D2C" w:rsidP="00103F16">
            <w:pPr>
              <w:spacing w:line="276" w:lineRule="auto"/>
              <w:ind w:left="0" w:right="0" w:firstLine="0"/>
              <w:jc w:val="left"/>
            </w:pPr>
          </w:p>
        </w:tc>
        <w:tc>
          <w:tcPr>
            <w:tcW w:w="992" w:type="dxa"/>
            <w:shd w:val="clear" w:color="auto" w:fill="auto"/>
            <w:vAlign w:val="center"/>
          </w:tcPr>
          <w:p w:rsidR="001C4D2C" w:rsidRPr="001C4D2C" w:rsidRDefault="001C4D2C" w:rsidP="00103F16">
            <w:pPr>
              <w:spacing w:line="276" w:lineRule="auto"/>
              <w:ind w:left="0" w:right="0" w:firstLine="0"/>
              <w:jc w:val="left"/>
            </w:pPr>
          </w:p>
        </w:tc>
        <w:tc>
          <w:tcPr>
            <w:tcW w:w="1701" w:type="dxa"/>
            <w:shd w:val="clear" w:color="auto" w:fill="auto"/>
            <w:vAlign w:val="center"/>
          </w:tcPr>
          <w:p w:rsidR="001C4D2C" w:rsidRPr="001C4D2C" w:rsidRDefault="001C4D2C" w:rsidP="00103F16">
            <w:pPr>
              <w:spacing w:line="276" w:lineRule="auto"/>
              <w:ind w:left="0" w:right="0" w:firstLine="0"/>
              <w:jc w:val="left"/>
              <w:rPr>
                <w:lang w:val="en-US"/>
              </w:rPr>
            </w:pPr>
          </w:p>
        </w:tc>
        <w:tc>
          <w:tcPr>
            <w:tcW w:w="1417" w:type="dxa"/>
            <w:shd w:val="clear" w:color="auto" w:fill="auto"/>
            <w:vAlign w:val="center"/>
          </w:tcPr>
          <w:p w:rsidR="001C4D2C" w:rsidRPr="001C4D2C" w:rsidRDefault="001C4D2C" w:rsidP="00103F16">
            <w:pPr>
              <w:spacing w:line="276" w:lineRule="auto"/>
              <w:ind w:left="0" w:right="0" w:firstLine="0"/>
              <w:jc w:val="left"/>
              <w:rPr>
                <w:b/>
                <w:i/>
              </w:rPr>
            </w:pPr>
          </w:p>
        </w:tc>
      </w:tr>
      <w:tr w:rsidR="001C4D2C" w:rsidRPr="001C4D2C" w:rsidTr="001C4D2C">
        <w:trPr>
          <w:trHeight w:val="131"/>
        </w:trPr>
        <w:tc>
          <w:tcPr>
            <w:tcW w:w="1276" w:type="dxa"/>
            <w:shd w:val="clear" w:color="auto" w:fill="auto"/>
            <w:vAlign w:val="center"/>
          </w:tcPr>
          <w:p w:rsidR="001C4D2C" w:rsidRPr="001C4D2C" w:rsidRDefault="001C4D2C" w:rsidP="00103F16">
            <w:pPr>
              <w:spacing w:line="276" w:lineRule="auto"/>
              <w:ind w:left="0" w:right="0" w:firstLine="0"/>
              <w:jc w:val="left"/>
            </w:pPr>
          </w:p>
        </w:tc>
        <w:tc>
          <w:tcPr>
            <w:tcW w:w="2268" w:type="dxa"/>
            <w:shd w:val="clear" w:color="auto" w:fill="auto"/>
            <w:vAlign w:val="center"/>
          </w:tcPr>
          <w:p w:rsidR="001C4D2C" w:rsidRPr="001C4D2C" w:rsidRDefault="001C4D2C" w:rsidP="00103F16">
            <w:pPr>
              <w:spacing w:line="276" w:lineRule="auto"/>
              <w:ind w:left="0" w:right="0" w:firstLine="0"/>
              <w:jc w:val="left"/>
            </w:pPr>
          </w:p>
        </w:tc>
        <w:tc>
          <w:tcPr>
            <w:tcW w:w="1418" w:type="dxa"/>
            <w:shd w:val="clear" w:color="auto" w:fill="auto"/>
            <w:vAlign w:val="center"/>
          </w:tcPr>
          <w:p w:rsidR="001C4D2C" w:rsidRPr="001C4D2C" w:rsidRDefault="001C4D2C" w:rsidP="00103F16">
            <w:pPr>
              <w:spacing w:line="276" w:lineRule="auto"/>
              <w:ind w:left="0" w:right="0" w:firstLine="0"/>
              <w:jc w:val="left"/>
            </w:pPr>
          </w:p>
        </w:tc>
        <w:tc>
          <w:tcPr>
            <w:tcW w:w="992" w:type="dxa"/>
            <w:shd w:val="clear" w:color="auto" w:fill="auto"/>
            <w:vAlign w:val="center"/>
          </w:tcPr>
          <w:p w:rsidR="001C4D2C" w:rsidRPr="001C4D2C" w:rsidRDefault="001C4D2C" w:rsidP="00103F16">
            <w:pPr>
              <w:spacing w:line="276" w:lineRule="auto"/>
              <w:ind w:left="0" w:right="0" w:firstLine="0"/>
              <w:jc w:val="left"/>
            </w:pPr>
          </w:p>
        </w:tc>
        <w:tc>
          <w:tcPr>
            <w:tcW w:w="1701" w:type="dxa"/>
            <w:shd w:val="clear" w:color="auto" w:fill="auto"/>
            <w:vAlign w:val="center"/>
          </w:tcPr>
          <w:p w:rsidR="001C4D2C" w:rsidRPr="001C4D2C" w:rsidRDefault="001C4D2C" w:rsidP="00103F16">
            <w:pPr>
              <w:spacing w:line="276" w:lineRule="auto"/>
              <w:ind w:left="0" w:right="0" w:firstLine="0"/>
              <w:jc w:val="left"/>
            </w:pPr>
          </w:p>
        </w:tc>
        <w:tc>
          <w:tcPr>
            <w:tcW w:w="1417" w:type="dxa"/>
            <w:shd w:val="clear" w:color="auto" w:fill="auto"/>
            <w:vAlign w:val="center"/>
          </w:tcPr>
          <w:p w:rsidR="001C4D2C" w:rsidRPr="001C4D2C" w:rsidRDefault="001C4D2C" w:rsidP="00103F16">
            <w:pPr>
              <w:spacing w:line="276" w:lineRule="auto"/>
              <w:ind w:left="0" w:right="0" w:firstLine="0"/>
              <w:jc w:val="left"/>
            </w:pPr>
          </w:p>
        </w:tc>
      </w:tr>
    </w:tbl>
    <w:p w:rsidR="005804BC" w:rsidRDefault="005804BC" w:rsidP="00103F16">
      <w:pPr>
        <w:spacing w:line="276" w:lineRule="auto"/>
        <w:ind w:left="0" w:right="0" w:firstLine="0"/>
        <w:jc w:val="left"/>
      </w:pPr>
    </w:p>
    <w:sectPr w:rsidR="005804BC" w:rsidSect="00777A99">
      <w:footerReference w:type="default" r:id="rId8"/>
      <w:footerReference w:type="first" r:id="rId9"/>
      <w:pgSz w:w="11899" w:h="16841"/>
      <w:pgMar w:top="567" w:right="774" w:bottom="1440" w:left="1260" w:header="708"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97" w:rsidRDefault="00982697" w:rsidP="00BE54F4">
      <w:pPr>
        <w:spacing w:line="240" w:lineRule="auto"/>
      </w:pPr>
      <w:r>
        <w:separator/>
      </w:r>
    </w:p>
  </w:endnote>
  <w:endnote w:type="continuationSeparator" w:id="0">
    <w:p w:rsidR="00982697" w:rsidRDefault="00982697" w:rsidP="00BE5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A9" w:rsidRDefault="00F22CA9" w:rsidP="00F22CA9">
    <w:pPr>
      <w:pBdr>
        <w:top w:val="single" w:sz="4" w:space="1" w:color="auto"/>
      </w:pBdr>
      <w:spacing w:before="25" w:line="259" w:lineRule="auto"/>
      <w:ind w:left="-5" w:right="0"/>
      <w:jc w:val="left"/>
    </w:pPr>
    <w:r>
      <w:rPr>
        <w:sz w:val="14"/>
      </w:rPr>
      <w:t xml:space="preserve">Bd. Regina Elisabeta nr. 3, etajele 3 si 5, Sector 3, Bucureşti, România </w:t>
    </w:r>
  </w:p>
  <w:p w:rsidR="00F22CA9" w:rsidRDefault="00F22CA9" w:rsidP="00F22CA9">
    <w:pPr>
      <w:pBdr>
        <w:top w:val="single" w:sz="4" w:space="1" w:color="auto"/>
      </w:pBdr>
      <w:tabs>
        <w:tab w:val="center" w:pos="5041"/>
        <w:tab w:val="center" w:pos="5761"/>
        <w:tab w:val="center" w:pos="6481"/>
        <w:tab w:val="center" w:pos="7201"/>
        <w:tab w:val="center" w:pos="8509"/>
      </w:tabs>
      <w:spacing w:after="48" w:line="259" w:lineRule="auto"/>
      <w:ind w:left="-15" w:right="0" w:firstLine="0"/>
      <w:jc w:val="left"/>
    </w:pPr>
    <w:r>
      <w:rPr>
        <w:sz w:val="14"/>
      </w:rPr>
      <w:t xml:space="preserve">Tel.: +4 0372.573.000; Fax: +4 0372.271.435; E-mail: anabi@just.ro   </w:t>
    </w:r>
    <w:r>
      <w:rPr>
        <w:sz w:val="14"/>
      </w:rPr>
      <w:tab/>
      <w:t xml:space="preserve"> </w:t>
    </w:r>
    <w:r>
      <w:rPr>
        <w:sz w:val="14"/>
      </w:rPr>
      <w:tab/>
      <w:t xml:space="preserve"> </w:t>
    </w:r>
    <w:r>
      <w:rPr>
        <w:sz w:val="14"/>
      </w:rPr>
      <w:tab/>
      <w:t xml:space="preserve"> </w:t>
    </w:r>
    <w:r>
      <w:rPr>
        <w:sz w:val="14"/>
      </w:rPr>
      <w:tab/>
      <w:t xml:space="preserve"> </w:t>
    </w:r>
    <w:r>
      <w:rPr>
        <w:sz w:val="14"/>
      </w:rPr>
      <w:tab/>
      <w:t xml:space="preserve">       Pagina 2 din 2</w:t>
    </w:r>
  </w:p>
  <w:p w:rsidR="00F22CA9" w:rsidRDefault="00F22CA9" w:rsidP="00F22CA9">
    <w:pPr>
      <w:pBdr>
        <w:top w:val="single" w:sz="4" w:space="1" w:color="auto"/>
      </w:pBdr>
      <w:spacing w:after="257" w:line="259" w:lineRule="auto"/>
      <w:ind w:left="-5" w:right="0"/>
      <w:jc w:val="left"/>
    </w:pPr>
    <w:r>
      <w:rPr>
        <w:sz w:val="14"/>
      </w:rPr>
      <w:t xml:space="preserve">www.just.ro; anabi.just.ro     </w:t>
    </w:r>
    <w:r>
      <w:t xml:space="preserve"> </w:t>
    </w:r>
  </w:p>
  <w:p w:rsidR="00F22CA9" w:rsidRDefault="00F22CA9" w:rsidP="00F22CA9">
    <w:pPr>
      <w:pStyle w:val="Footer"/>
    </w:pPr>
  </w:p>
  <w:p w:rsidR="00F22CA9" w:rsidRDefault="00F2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99" w:rsidRDefault="00777A99" w:rsidP="00777A99">
    <w:pPr>
      <w:pBdr>
        <w:top w:val="single" w:sz="4" w:space="1" w:color="auto"/>
      </w:pBdr>
      <w:spacing w:before="25" w:line="259" w:lineRule="auto"/>
      <w:ind w:left="-5" w:right="0"/>
      <w:jc w:val="left"/>
    </w:pPr>
    <w:r>
      <w:rPr>
        <w:sz w:val="14"/>
      </w:rPr>
      <w:t xml:space="preserve">Bd. Regina Elisabeta nr. 3, etajele 3 si 5, Sector 3, Bucureşti, România </w:t>
    </w:r>
  </w:p>
  <w:p w:rsidR="00777A99" w:rsidRDefault="00777A99" w:rsidP="00777A99">
    <w:pPr>
      <w:pBdr>
        <w:top w:val="single" w:sz="4" w:space="1" w:color="auto"/>
      </w:pBdr>
      <w:tabs>
        <w:tab w:val="center" w:pos="5041"/>
        <w:tab w:val="center" w:pos="5761"/>
        <w:tab w:val="center" w:pos="6481"/>
        <w:tab w:val="center" w:pos="7201"/>
        <w:tab w:val="center" w:pos="8509"/>
      </w:tabs>
      <w:spacing w:after="48" w:line="259" w:lineRule="auto"/>
      <w:ind w:left="-15" w:right="0" w:firstLine="0"/>
      <w:jc w:val="left"/>
    </w:pPr>
    <w:r>
      <w:rPr>
        <w:sz w:val="14"/>
      </w:rPr>
      <w:t xml:space="preserve">Tel.: +4 0372.573.000; Fax: +4 0372.271.435; E-mail: anabi@just.ro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sidR="00F22CA9">
      <w:rPr>
        <w:sz w:val="14"/>
      </w:rPr>
      <w:t>Pagina 1 din 2</w:t>
    </w:r>
  </w:p>
  <w:p w:rsidR="00777A99" w:rsidRDefault="00777A99" w:rsidP="00777A99">
    <w:pPr>
      <w:pBdr>
        <w:top w:val="single" w:sz="4" w:space="1" w:color="auto"/>
      </w:pBdr>
      <w:spacing w:after="257" w:line="259" w:lineRule="auto"/>
      <w:ind w:left="-5" w:right="0"/>
      <w:jc w:val="left"/>
    </w:pPr>
    <w:r>
      <w:rPr>
        <w:sz w:val="14"/>
      </w:rPr>
      <w:t xml:space="preserve">www.just.ro; anabi.just.ro     </w:t>
    </w:r>
    <w:r>
      <w:t xml:space="preserve"> </w:t>
    </w:r>
  </w:p>
  <w:p w:rsidR="00777A99" w:rsidRDefault="0077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97" w:rsidRDefault="00982697" w:rsidP="00BE54F4">
      <w:pPr>
        <w:spacing w:line="240" w:lineRule="auto"/>
      </w:pPr>
      <w:r>
        <w:separator/>
      </w:r>
    </w:p>
  </w:footnote>
  <w:footnote w:type="continuationSeparator" w:id="0">
    <w:p w:rsidR="00982697" w:rsidRDefault="00982697" w:rsidP="00BE54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BC"/>
    <w:rsid w:val="00030F29"/>
    <w:rsid w:val="00103F16"/>
    <w:rsid w:val="001C4D2C"/>
    <w:rsid w:val="00282017"/>
    <w:rsid w:val="002C4677"/>
    <w:rsid w:val="00444923"/>
    <w:rsid w:val="00556D80"/>
    <w:rsid w:val="005804BC"/>
    <w:rsid w:val="006455E7"/>
    <w:rsid w:val="00777A99"/>
    <w:rsid w:val="0084159C"/>
    <w:rsid w:val="008671C8"/>
    <w:rsid w:val="00982697"/>
    <w:rsid w:val="00984C23"/>
    <w:rsid w:val="00A05345"/>
    <w:rsid w:val="00B31F0E"/>
    <w:rsid w:val="00BB17B6"/>
    <w:rsid w:val="00BE54F4"/>
    <w:rsid w:val="00CD38D4"/>
    <w:rsid w:val="00D8336D"/>
    <w:rsid w:val="00D928EC"/>
    <w:rsid w:val="00E576FC"/>
    <w:rsid w:val="00F22CA9"/>
    <w:rsid w:val="00F44F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623B2-B3A7-4631-BE71-7565397D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152" w:right="63" w:hanging="10"/>
      <w:jc w:val="both"/>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96"/>
      <w:ind w:right="70"/>
      <w:jc w:val="center"/>
      <w:outlineLvl w:val="0"/>
    </w:pPr>
    <w:rPr>
      <w:rFonts w:ascii="Trebuchet MS" w:eastAsia="Trebuchet MS" w:hAnsi="Trebuchet MS" w:cs="Trebuchet MS"/>
      <w:b/>
      <w:color w:val="000000"/>
      <w:sz w:val="24"/>
    </w:rPr>
  </w:style>
  <w:style w:type="paragraph" w:styleId="Heading2">
    <w:name w:val="heading 2"/>
    <w:next w:val="Normal"/>
    <w:link w:val="Heading2Char"/>
    <w:uiPriority w:val="9"/>
    <w:unhideWhenUsed/>
    <w:qFormat/>
    <w:pPr>
      <w:keepNext/>
      <w:keepLines/>
      <w:spacing w:after="0"/>
      <w:ind w:left="152" w:hanging="10"/>
      <w:outlineLvl w:val="1"/>
    </w:pPr>
    <w:rPr>
      <w:rFonts w:ascii="Trebuchet MS" w:eastAsia="Trebuchet MS" w:hAnsi="Trebuchet MS" w:cs="Trebuchet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2"/>
      <w:u w:val="single" w:color="000000"/>
    </w:rPr>
  </w:style>
  <w:style w:type="character" w:customStyle="1" w:styleId="Heading1Char">
    <w:name w:val="Heading 1 Char"/>
    <w:link w:val="Heading1"/>
    <w:rPr>
      <w:rFonts w:ascii="Trebuchet MS" w:eastAsia="Trebuchet MS" w:hAnsi="Trebuchet MS" w:cs="Trebuchet MS"/>
      <w:b/>
      <w:color w:val="000000"/>
      <w:sz w:val="24"/>
    </w:rPr>
  </w:style>
  <w:style w:type="paragraph" w:styleId="Header">
    <w:name w:val="header"/>
    <w:basedOn w:val="Normal"/>
    <w:link w:val="HeaderChar"/>
    <w:uiPriority w:val="99"/>
    <w:unhideWhenUsed/>
    <w:rsid w:val="00BE54F4"/>
    <w:pPr>
      <w:tabs>
        <w:tab w:val="center" w:pos="4536"/>
        <w:tab w:val="right" w:pos="9072"/>
      </w:tabs>
      <w:spacing w:line="240" w:lineRule="auto"/>
    </w:pPr>
  </w:style>
  <w:style w:type="character" w:customStyle="1" w:styleId="HeaderChar">
    <w:name w:val="Header Char"/>
    <w:basedOn w:val="DefaultParagraphFont"/>
    <w:link w:val="Header"/>
    <w:uiPriority w:val="99"/>
    <w:rsid w:val="00BE54F4"/>
    <w:rPr>
      <w:rFonts w:ascii="Trebuchet MS" w:eastAsia="Trebuchet MS" w:hAnsi="Trebuchet MS" w:cs="Trebuchet MS"/>
      <w:color w:val="000000"/>
    </w:rPr>
  </w:style>
  <w:style w:type="paragraph" w:styleId="Footer">
    <w:name w:val="footer"/>
    <w:basedOn w:val="Normal"/>
    <w:link w:val="FooterChar"/>
    <w:uiPriority w:val="99"/>
    <w:unhideWhenUsed/>
    <w:rsid w:val="00BE54F4"/>
    <w:pPr>
      <w:tabs>
        <w:tab w:val="center" w:pos="4536"/>
        <w:tab w:val="right" w:pos="9072"/>
      </w:tabs>
      <w:spacing w:line="240" w:lineRule="auto"/>
    </w:pPr>
  </w:style>
  <w:style w:type="character" w:customStyle="1" w:styleId="FooterChar">
    <w:name w:val="Footer Char"/>
    <w:basedOn w:val="DefaultParagraphFont"/>
    <w:link w:val="Footer"/>
    <w:uiPriority w:val="99"/>
    <w:rsid w:val="00BE54F4"/>
    <w:rPr>
      <w:rFonts w:ascii="Trebuchet MS" w:eastAsia="Trebuchet MS" w:hAnsi="Trebuchet MS" w:cs="Trebuchet MS"/>
      <w:color w:val="000000"/>
    </w:rPr>
  </w:style>
  <w:style w:type="paragraph" w:styleId="BalloonText">
    <w:name w:val="Balloon Text"/>
    <w:basedOn w:val="Normal"/>
    <w:link w:val="BalloonTextChar"/>
    <w:uiPriority w:val="99"/>
    <w:semiHidden/>
    <w:unhideWhenUsed/>
    <w:rsid w:val="001C4D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2C"/>
    <w:rPr>
      <w:rFonts w:ascii="Segoe UI" w:eastAsia="Trebuchet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ANABI</dc:creator>
  <cp:keywords/>
  <cp:lastModifiedBy>Loredana Chirilov</cp:lastModifiedBy>
  <cp:revision>2</cp:revision>
  <cp:lastPrinted>2018-09-14T09:26:00Z</cp:lastPrinted>
  <dcterms:created xsi:type="dcterms:W3CDTF">2018-11-05T15:38:00Z</dcterms:created>
  <dcterms:modified xsi:type="dcterms:W3CDTF">2018-11-05T15:38:00Z</dcterms:modified>
</cp:coreProperties>
</file>